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7" w:rsidRDefault="009E4687" w:rsidP="009E468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90"/>
      <w:bookmarkStart w:id="1" w:name="n177"/>
      <w:bookmarkEnd w:id="0"/>
      <w:bookmarkEnd w:id="1"/>
      <w:proofErr w:type="spellStart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9E4687" w:rsidRPr="00F55427" w:rsidRDefault="009E4687" w:rsidP="009E468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налізу</w:t>
      </w:r>
      <w:proofErr w:type="spellEnd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регуляторного акта</w:t>
      </w:r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проекту рішення «Про заборону продажу пива (крім безалкогольного), алкогольних, слабоалкогольних напоїв, вин столових </w:t>
      </w:r>
      <w:proofErr w:type="spellStart"/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</w:t>
      </w:r>
      <w:proofErr w:type="spellEnd"/>
      <w:r w:rsidRPr="00F55427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proofErr w:type="spellStart"/>
      <w:r w:rsidRPr="00F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ктами</w:t>
      </w:r>
      <w:proofErr w:type="spellEnd"/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господарювання (крім закладів ресторанного господарства) у визначений час доби в межах території Покровської селищної ради»</w:t>
      </w:r>
    </w:p>
    <w:p w:rsidR="009E4687" w:rsidRDefault="009E4687" w:rsidP="009E46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687" w:rsidRPr="009E4687" w:rsidRDefault="009E4687" w:rsidP="009E46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БЮДЖЕТНІ ВИТРАТИ 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</w:t>
      </w:r>
      <w:proofErr w:type="gramEnd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іністрування</w:t>
      </w:r>
      <w:proofErr w:type="spellEnd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суб’єктів</w:t>
      </w:r>
      <w:proofErr w:type="spellEnd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великого і </w:t>
      </w:r>
      <w:proofErr w:type="spellStart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середнього</w:t>
      </w:r>
      <w:proofErr w:type="spellEnd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підприємництва</w:t>
      </w:r>
      <w:proofErr w:type="spellEnd"/>
    </w:p>
    <w:p w:rsidR="009E4687" w:rsidRPr="009E4687" w:rsidRDefault="009E4687" w:rsidP="009E46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91"/>
      <w:bookmarkEnd w:id="2"/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іністрування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кожного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залучений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687" w:rsidRPr="009E4687" w:rsidRDefault="009E4687" w:rsidP="009E468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92"/>
      <w:bookmarkEnd w:id="3"/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орган, для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іністрування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5B82" w:rsidRPr="003327C4" w:rsidRDefault="00F85B82" w:rsidP="009E46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  <w:bookmarkStart w:id="4" w:name="n193"/>
      <w:bookmarkEnd w:id="4"/>
      <w:r w:rsidRPr="003327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327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Покровськ</w:t>
      </w:r>
      <w:r w:rsidR="003327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ий</w:t>
      </w:r>
      <w:r w:rsidRPr="003327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ВП Синельниківського ВП ГУНП у Дніпропетровській області</w:t>
      </w:r>
      <w:r w:rsidRPr="003327C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9E4687" w:rsidRPr="009E4687" w:rsidRDefault="009E4687" w:rsidP="009E46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державного</w:t>
      </w:r>
      <w:proofErr w:type="gramEnd"/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органу)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186"/>
        <w:gridCol w:w="1423"/>
        <w:gridCol w:w="1233"/>
        <w:gridCol w:w="2018"/>
        <w:gridCol w:w="1667"/>
      </w:tblGrid>
      <w:tr w:rsidR="00F85B82" w:rsidRPr="009E4687" w:rsidTr="00F85B82">
        <w:trPr>
          <w:jc w:val="center"/>
        </w:trPr>
        <w:tc>
          <w:tcPr>
            <w:tcW w:w="9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194"/>
            <w:bookmarkEnd w:id="5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 і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типового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на процедуру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плата)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припадають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підпадають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ію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(за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63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виїзні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год.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 грн.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636 грн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4F4461" w:rsidRDefault="00C935A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proofErr w:type="gram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опрацювання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окремого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про </w:t>
            </w:r>
            <w:proofErr w:type="spell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(у випадку необхідності складення протоколу про виявлене порушення</w:t>
            </w:r>
            <w:r w:rsidR="00F85B82" w:rsidRPr="004F44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передача його на розгляд адміністративної комісії</w:t>
            </w:r>
            <w:r w:rsidRPr="004F44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 хв.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 грн.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324 грн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F85B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</w:t>
            </w:r>
            <w:r w:rsidR="00F8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год 30 хв.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960 грн</w:t>
            </w:r>
          </w:p>
        </w:tc>
      </w:tr>
      <w:tr w:rsidR="00F85B82" w:rsidRPr="009E4687" w:rsidTr="00F85B82">
        <w:trPr>
          <w:jc w:val="center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C935A2" w:rsidP="009E46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год 30 хв.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F85B82" w:rsidP="00F85B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4800 грн</w:t>
            </w:r>
          </w:p>
        </w:tc>
      </w:tr>
    </w:tbl>
    <w:p w:rsidR="009E4687" w:rsidRDefault="009E4687" w:rsidP="009E46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6" w:name="n195"/>
      <w:bookmarkEnd w:id="6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адмініструванням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державними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органами,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множення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фактичних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часу персоналу на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заробітну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спеціаліста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відповідної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кваліфікації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на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суб’єктів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підпадають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ію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процедури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 на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процедур за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рік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85B82" w:rsidRPr="009E4687" w:rsidRDefault="00F85B82" w:rsidP="00F85B8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Інформація щодо в</w:t>
      </w:r>
      <w:r w:rsidRPr="009E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</w:t>
      </w:r>
      <w:r w:rsidRPr="009E46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часу співробітника органу державної влади відповідної категорії (заробітна плата)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взята в середньому  з поданих електронних декларацій дільничними інспекторами поліції Покровського ВП Синельниківського ВП ГУНП у Дніпропетровській області за 2018 рік.</w:t>
      </w:r>
    </w:p>
    <w:p w:rsidR="003327C4" w:rsidRPr="009E4687" w:rsidRDefault="003327C4" w:rsidP="003327C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9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місцевого самоврядування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27C4" w:rsidRPr="00E11378" w:rsidRDefault="003327C4" w:rsidP="003327C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  <w:r w:rsidRPr="003327C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E113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Адміністративна комісія при виконавчому комітеті Покровської селищної ради</w:t>
      </w:r>
      <w:r w:rsidRPr="00E1137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</w:p>
    <w:p w:rsidR="003327C4" w:rsidRPr="009E4687" w:rsidRDefault="003327C4" w:rsidP="003327C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ісцевого самоврядування</w:t>
      </w:r>
      <w:r w:rsidRPr="009E46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tbl>
      <w:tblPr>
        <w:tblW w:w="506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185"/>
        <w:gridCol w:w="1423"/>
        <w:gridCol w:w="1360"/>
        <w:gridCol w:w="2019"/>
        <w:gridCol w:w="1667"/>
      </w:tblGrid>
      <w:tr w:rsidR="003327C4" w:rsidRPr="009E4687" w:rsidTr="003327C4">
        <w:trPr>
          <w:jc w:val="center"/>
        </w:trPr>
        <w:tc>
          <w:tcPr>
            <w:tcW w:w="9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 і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типового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на процедуру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припадають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підпадають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ію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(за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господарювання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перебуває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сфері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</w:p>
        </w:tc>
        <w:tc>
          <w:tcPr>
            <w:tcW w:w="623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за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суб’єктом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господарювання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перебуває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сфері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тому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9E4687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3327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3327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3327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3327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3327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виїзні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3327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ідготовка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опрацювання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окремого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акта про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порушення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F85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(розгляд справи про адміністративне правопорушення)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E11378" w:rsidP="00E113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2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 відсутності порушень процедура не застосовується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(на підготовку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 справи та розгляд -             </w:t>
            </w:r>
            <w:r w:rsidR="003327C4" w:rsidRPr="00E11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год.</w:t>
            </w:r>
            <w:r w:rsidRPr="00E11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E11378" w:rsidP="00E113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2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 відсутності порушень процедура не застосовуєтьс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 (на підготовку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 справи – </w:t>
            </w:r>
            <w:r w:rsidR="003327C4" w:rsidRPr="00E11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E11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2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випадку відсутності порушень процедура не застосовується 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2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 відсутності порушень процедура не застосовується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(при 1 порушенні – 50 грн)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Реалізація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окремого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порушення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E113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Оскарження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окремого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суб’єктами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господарювання</w:t>
            </w:r>
            <w:proofErr w:type="spellEnd"/>
            <w:r w:rsidR="00E11378" w:rsidRPr="00E113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 випадку необхідності – в судовому порядку)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ідготовка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звітності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за результатами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E113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іністративні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уточнити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): </w:t>
            </w: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br/>
              <w:t>____________</w:t>
            </w:r>
            <w:r w:rsidRPr="00E11378">
              <w:rPr>
                <w:rFonts w:ascii="Times New Roman" w:eastAsia="Times New Roman" w:hAnsi="Times New Roman" w:cs="Times New Roman"/>
                <w:lang w:eastAsia="ru-RU"/>
              </w:rPr>
              <w:t>__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Разом за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E113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год .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2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 відсутності порушень процедура не застосовується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50 </w:t>
            </w:r>
            <w:r w:rsidR="003327C4"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</w:p>
        </w:tc>
      </w:tr>
      <w:tr w:rsidR="003327C4" w:rsidRPr="009E4687" w:rsidTr="003327C4">
        <w:trPr>
          <w:jc w:val="center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Сумарно</w:t>
            </w:r>
            <w:proofErr w:type="spell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proofErr w:type="gram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п’ять</w:t>
            </w:r>
            <w:proofErr w:type="spellEnd"/>
            <w:proofErr w:type="gramEnd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87">
              <w:rPr>
                <w:rFonts w:ascii="Times New Roman" w:eastAsia="Times New Roman" w:hAnsi="Times New Roman" w:cs="Times New Roman"/>
                <w:lang w:eastAsia="ru-RU"/>
              </w:rPr>
              <w:t>років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 год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2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 відсутності порушень процедура не застосовується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3327C4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687" w:rsidRPr="009E4687" w:rsidRDefault="00E11378" w:rsidP="00F644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250</w:t>
            </w:r>
            <w:r w:rsidR="003327C4" w:rsidRPr="00F8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</w:tbl>
    <w:p w:rsidR="003327C4" w:rsidRPr="009E4687" w:rsidRDefault="003327C4" w:rsidP="00E11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r w:rsidR="00E11378" w:rsidRPr="00E11378">
        <w:rPr>
          <w:rFonts w:ascii="Times New Roman" w:eastAsia="Times New Roman" w:hAnsi="Times New Roman" w:cs="Times New Roman"/>
          <w:lang w:val="uk-UA" w:eastAsia="ru-RU"/>
        </w:rPr>
        <w:t xml:space="preserve">Роль </w:t>
      </w:r>
      <w:proofErr w:type="gramStart"/>
      <w:r w:rsidR="00E11378" w:rsidRPr="00E11378">
        <w:rPr>
          <w:rFonts w:ascii="Times New Roman" w:eastAsia="Times New Roman" w:hAnsi="Times New Roman" w:cs="Times New Roman"/>
          <w:lang w:val="uk-UA" w:eastAsia="ru-RU"/>
        </w:rPr>
        <w:t>адм</w:t>
      </w:r>
      <w:proofErr w:type="gramEnd"/>
      <w:r w:rsidR="00E11378" w:rsidRPr="00E11378">
        <w:rPr>
          <w:rFonts w:ascii="Times New Roman" w:eastAsia="Times New Roman" w:hAnsi="Times New Roman" w:cs="Times New Roman"/>
          <w:lang w:val="uk-UA" w:eastAsia="ru-RU"/>
        </w:rPr>
        <w:t xml:space="preserve">іністративної комісії при виконавчому комітеті Покровської селищної ради у адмініструванні є умовною, оскільки при відсутності правопорушень з боку </w:t>
      </w:r>
      <w:proofErr w:type="spellStart"/>
      <w:r w:rsidR="00E11378" w:rsidRPr="00E11378">
        <w:rPr>
          <w:rFonts w:ascii="Times New Roman" w:eastAsia="Times New Roman" w:hAnsi="Times New Roman" w:cs="Times New Roman"/>
          <w:lang w:val="uk-UA" w:eastAsia="ru-RU"/>
        </w:rPr>
        <w:t>суб</w:t>
      </w:r>
      <w:proofErr w:type="spellEnd"/>
      <w:r w:rsidR="00E11378" w:rsidRPr="00E11378">
        <w:rPr>
          <w:rFonts w:ascii="Times New Roman" w:eastAsia="Times New Roman" w:hAnsi="Times New Roman" w:cs="Times New Roman"/>
          <w:lang w:eastAsia="ru-RU"/>
        </w:rPr>
        <w:t>’</w:t>
      </w:r>
      <w:proofErr w:type="spellStart"/>
      <w:r w:rsidR="00E11378" w:rsidRPr="00E11378">
        <w:rPr>
          <w:rFonts w:ascii="Times New Roman" w:eastAsia="Times New Roman" w:hAnsi="Times New Roman" w:cs="Times New Roman"/>
          <w:lang w:val="uk-UA" w:eastAsia="ru-RU"/>
        </w:rPr>
        <w:t>єкта</w:t>
      </w:r>
      <w:proofErr w:type="spellEnd"/>
      <w:r w:rsidR="00E11378" w:rsidRPr="00E11378">
        <w:rPr>
          <w:rFonts w:ascii="Times New Roman" w:eastAsia="Times New Roman" w:hAnsi="Times New Roman" w:cs="Times New Roman"/>
          <w:lang w:val="uk-UA" w:eastAsia="ru-RU"/>
        </w:rPr>
        <w:t xml:space="preserve"> господарювання та відсутності складених протоколів про адміністративні правопорушення щодо порушення часу торгівлі алкогольними напоями жодних витрат часу на процедуру регулювання не планується.</w:t>
      </w:r>
    </w:p>
    <w:p w:rsidR="003327C4" w:rsidRDefault="003327C4" w:rsidP="003327C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B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ержавне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F85B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</w:t>
      </w:r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державного органу (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структурного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9E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органу)</w:t>
      </w:r>
      <w:r w:rsidRPr="00F85B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11378" w:rsidRPr="00E11378" w:rsidRDefault="00E11378" w:rsidP="00F85B8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4F4461" w:rsidRPr="003D1929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Спеціаліст І категорії відділу </w:t>
      </w:r>
    </w:p>
    <w:p w:rsidR="004F4461" w:rsidRPr="003D1929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правового забезпечення та </w:t>
      </w:r>
    </w:p>
    <w:p w:rsidR="004F4461" w:rsidRPr="003D1929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інформаційних технологій </w:t>
      </w:r>
    </w:p>
    <w:p w:rsidR="004F4461" w:rsidRPr="003D1929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виконавчого комітету </w:t>
      </w:r>
    </w:p>
    <w:p w:rsidR="004F4461" w:rsidRPr="003D1929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Покровської селищної ради</w:t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О.О.ЧИЧИКАЛО</w:t>
      </w:r>
    </w:p>
    <w:p w:rsidR="004F4461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F4461" w:rsidRPr="003D1929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11378" w:rsidRPr="00F85B82" w:rsidRDefault="004F4461" w:rsidP="004F4461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Покровський селищний голова</w:t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С.А.СПАЖЕВА</w:t>
      </w:r>
      <w:bookmarkStart w:id="8" w:name="_GoBack"/>
      <w:bookmarkEnd w:id="8"/>
    </w:p>
    <w:sectPr w:rsidR="00E11378" w:rsidRPr="00F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7"/>
    <w:rsid w:val="000F321E"/>
    <w:rsid w:val="003327C4"/>
    <w:rsid w:val="004F4461"/>
    <w:rsid w:val="006D3F9C"/>
    <w:rsid w:val="009E4687"/>
    <w:rsid w:val="00C935A2"/>
    <w:rsid w:val="00E11378"/>
    <w:rsid w:val="00F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2019-04-24T11:33:00Z</dcterms:created>
  <dcterms:modified xsi:type="dcterms:W3CDTF">2019-05-03T11:56:00Z</dcterms:modified>
</cp:coreProperties>
</file>