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2C22" w14:textId="77777777" w:rsidR="003D538B" w:rsidRDefault="003D538B" w:rsidP="003D538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5FD43" wp14:editId="0531B8BA">
            <wp:simplePos x="0" y="0"/>
            <wp:positionH relativeFrom="column">
              <wp:posOffset>6747510</wp:posOffset>
            </wp:positionH>
            <wp:positionV relativeFrom="paragraph">
              <wp:posOffset>-12065</wp:posOffset>
            </wp:positionV>
            <wp:extent cx="2291715" cy="684530"/>
            <wp:effectExtent l="0" t="0" r="0" b="127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5690048-143D-0F41-A6D0-BA28AD822C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5690048-143D-0F41-A6D0-BA28AD822C46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8872B0" wp14:editId="10A4AFD8">
            <wp:simplePos x="0" y="0"/>
            <wp:positionH relativeFrom="column">
              <wp:posOffset>3431540</wp:posOffset>
            </wp:positionH>
            <wp:positionV relativeFrom="paragraph">
              <wp:posOffset>-178435</wp:posOffset>
            </wp:positionV>
            <wp:extent cx="1701165" cy="1065530"/>
            <wp:effectExtent l="0" t="0" r="0" b="127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972BED9-96FB-A84A-9574-2587941CA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972BED9-96FB-A84A-9574-2587941CAA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FAA625" wp14:editId="62C4A784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1437640" cy="1192530"/>
            <wp:effectExtent l="0" t="0" r="0" b="762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BD4BF93-CCF1-9142-B4A1-A21A08CA4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BD4BF93-CCF1-9142-B4A1-A21A08CA4E5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1FF6D" w14:textId="77777777" w:rsidR="003D538B" w:rsidRDefault="003D538B" w:rsidP="003D538B"/>
    <w:p w14:paraId="0BA0C1CE" w14:textId="77777777" w:rsidR="003D538B" w:rsidRDefault="003D538B" w:rsidP="003D538B">
      <w:pPr>
        <w:spacing w:after="0"/>
        <w:jc w:val="center"/>
        <w:rPr>
          <w:b/>
          <w:sz w:val="32"/>
          <w:szCs w:val="32"/>
          <w:lang w:val="uk-UA"/>
        </w:rPr>
      </w:pPr>
    </w:p>
    <w:p w14:paraId="3137C112" w14:textId="77777777" w:rsidR="003D538B" w:rsidRDefault="003D538B" w:rsidP="003D538B">
      <w:pPr>
        <w:spacing w:after="0"/>
        <w:jc w:val="center"/>
        <w:rPr>
          <w:b/>
          <w:sz w:val="32"/>
          <w:szCs w:val="32"/>
          <w:lang w:val="uk-UA"/>
        </w:rPr>
      </w:pPr>
    </w:p>
    <w:p w14:paraId="42F6A316" w14:textId="77777777" w:rsidR="003D538B" w:rsidRDefault="003D538B" w:rsidP="005B343D">
      <w:pPr>
        <w:spacing w:after="0"/>
        <w:ind w:right="-382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дій щодо просування гендерної рівності </w:t>
      </w:r>
    </w:p>
    <w:p w14:paraId="0ADB4AC7" w14:textId="1F53085C" w:rsidR="003D538B" w:rsidRDefault="003D538B" w:rsidP="005B343D">
      <w:pPr>
        <w:ind w:right="-3827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у </w:t>
      </w:r>
      <w:r>
        <w:rPr>
          <w:b/>
          <w:sz w:val="32"/>
          <w:szCs w:val="32"/>
          <w:lang w:val="uk-UA"/>
        </w:rPr>
        <w:t>Покровській</w:t>
      </w:r>
      <w:r>
        <w:rPr>
          <w:b/>
          <w:sz w:val="32"/>
          <w:szCs w:val="32"/>
          <w:lang w:val="uk-UA"/>
        </w:rPr>
        <w:t xml:space="preserve"> громаді Дніпропетровської області на 2021-2023 </w:t>
      </w:r>
      <w:proofErr w:type="spellStart"/>
      <w:r>
        <w:rPr>
          <w:b/>
          <w:sz w:val="32"/>
          <w:szCs w:val="32"/>
          <w:lang w:val="uk-UA"/>
        </w:rPr>
        <w:t>рр</w:t>
      </w:r>
      <w:proofErr w:type="spellEnd"/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2060"/>
        <w:gridCol w:w="2060"/>
        <w:gridCol w:w="1940"/>
      </w:tblGrid>
      <w:tr w:rsidR="005B343D" w:rsidRPr="005B343D" w14:paraId="5067BADF" w14:textId="77777777" w:rsidTr="005B343D">
        <w:trPr>
          <w:trHeight w:val="642"/>
        </w:trPr>
        <w:tc>
          <w:tcPr>
            <w:tcW w:w="9209" w:type="dxa"/>
            <w:shd w:val="clear" w:color="000000" w:fill="D9E1F2"/>
            <w:noWrap/>
            <w:vAlign w:val="center"/>
            <w:hideMark/>
          </w:tcPr>
          <w:p w14:paraId="4594E27E" w14:textId="7777777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Дія</w:t>
            </w:r>
            <w:proofErr w:type="spellEnd"/>
          </w:p>
        </w:tc>
        <w:tc>
          <w:tcPr>
            <w:tcW w:w="2060" w:type="dxa"/>
            <w:shd w:val="clear" w:color="000000" w:fill="D9E1F2"/>
            <w:noWrap/>
            <w:vAlign w:val="center"/>
            <w:hideMark/>
          </w:tcPr>
          <w:p w14:paraId="7BC1D3E3" w14:textId="7777777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060" w:type="dxa"/>
            <w:shd w:val="clear" w:color="000000" w:fill="D9E1F2"/>
            <w:noWrap/>
            <w:vAlign w:val="center"/>
            <w:hideMark/>
          </w:tcPr>
          <w:p w14:paraId="55EA9CAE" w14:textId="7777777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940" w:type="dxa"/>
            <w:shd w:val="clear" w:color="000000" w:fill="D9E1F2"/>
            <w:noWrap/>
            <w:vAlign w:val="center"/>
            <w:hideMark/>
          </w:tcPr>
          <w:p w14:paraId="2489AABC" w14:textId="7777777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5B343D" w:rsidRPr="005B343D" w14:paraId="588050B5" w14:textId="77777777" w:rsidTr="005B343D">
        <w:trPr>
          <w:trHeight w:val="1006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3678EF47" w14:textId="5FB500E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І. УДОСКОНАЛЕННЯ ІНСТИТУЦІЙНИХ МЕХАНІЗМІВ І НОРМАТИВНО-ПРАВОВОГО ЗАБЕЗПЕЧЕННЯ РЕАЛІЗАЦІЇ ПОЛІТИКИ </w:t>
            </w:r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ЕРНОЇ РІВНОСТІ </w:t>
            </w:r>
          </w:p>
        </w:tc>
      </w:tr>
      <w:tr w:rsidR="005B343D" w:rsidRPr="005B343D" w14:paraId="4F3FDFF6" w14:textId="77777777" w:rsidTr="005B343D">
        <w:trPr>
          <w:trHeight w:val="553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4DA50865" w14:textId="4EDB6BE1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1.  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Удосконалити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інституційні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механізми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4368759E" w14:textId="77777777" w:rsidTr="005B343D">
        <w:trPr>
          <w:trHeight w:val="651"/>
        </w:trPr>
        <w:tc>
          <w:tcPr>
            <w:tcW w:w="9209" w:type="dxa"/>
            <w:shd w:val="clear" w:color="000000" w:fill="FFFFFF"/>
            <w:hideMark/>
          </w:tcPr>
          <w:p w14:paraId="607FAEF7" w14:textId="13C27A4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1.1.в.1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Призначити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радника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засадах,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затвердити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відповідне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D682854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FDFD5E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091D4839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203764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3AF7B041" w14:textId="77777777" w:rsidTr="005B343D">
        <w:trPr>
          <w:trHeight w:val="689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1975101C" w14:textId="21BFD09B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Удосконалити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правове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E26366C" w14:textId="77777777" w:rsidTr="005B343D">
        <w:trPr>
          <w:trHeight w:val="691"/>
        </w:trPr>
        <w:tc>
          <w:tcPr>
            <w:tcW w:w="9209" w:type="dxa"/>
            <w:shd w:val="clear" w:color="000000" w:fill="FFFFFF"/>
            <w:hideMark/>
          </w:tcPr>
          <w:p w14:paraId="4B317C4A" w14:textId="6EA591C1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1.2.а.4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(за потреби)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479F215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548E93F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2928D2A8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6DE7AB8F" w14:textId="77777777" w:rsidTr="005B343D">
        <w:trPr>
          <w:trHeight w:val="858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3B029A56" w14:textId="184E3CAB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Запровадити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сучасні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фінансові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3D81C8CF" w14:textId="77777777" w:rsidTr="005B343D">
        <w:trPr>
          <w:trHeight w:val="1270"/>
        </w:trPr>
        <w:tc>
          <w:tcPr>
            <w:tcW w:w="9209" w:type="dxa"/>
            <w:shd w:val="clear" w:color="000000" w:fill="FFFFFF"/>
            <w:hideMark/>
          </w:tcPr>
          <w:p w14:paraId="6BAD7060" w14:textId="276168D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1.3.а.2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підходу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бюджетному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1.3.а.3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контроль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підходу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бюджетному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7BD149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2BCB356D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2DCD715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201420E7" w14:textId="77777777" w:rsidTr="005B343D">
        <w:trPr>
          <w:trHeight w:val="2834"/>
        </w:trPr>
        <w:tc>
          <w:tcPr>
            <w:tcW w:w="9209" w:type="dxa"/>
            <w:shd w:val="clear" w:color="000000" w:fill="FFFFFF"/>
          </w:tcPr>
          <w:p w14:paraId="08B64920" w14:textId="48B71E9F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1.3.б.1 Провести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існуючих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розривів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1.3.б.2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підходу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програмах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відповідальних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розробку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1.3.б.3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Організувати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підходу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галузеві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1.3.б.4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галузевих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орієнтованого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підходу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</w:tcPr>
          <w:p w14:paraId="541FFE7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6A7294D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48C3F17D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7A9E2323" w14:textId="77777777" w:rsidTr="005B343D">
        <w:trPr>
          <w:trHeight w:val="1380"/>
        </w:trPr>
        <w:tc>
          <w:tcPr>
            <w:tcW w:w="9209" w:type="dxa"/>
            <w:shd w:val="clear" w:color="000000" w:fill="FFFFFF"/>
          </w:tcPr>
          <w:p w14:paraId="43C5BD8F" w14:textId="605C7D7C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1.3.в.1 Провести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підготувати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1.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3.в.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Опрацювати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бенефіціарів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1.3.в.3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опрацьованих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узгоджених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аспектів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</w:tcPr>
          <w:p w14:paraId="1405E062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407DC361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33BD276C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7F670508" w14:textId="77777777" w:rsidTr="005B343D">
        <w:trPr>
          <w:trHeight w:val="415"/>
        </w:trPr>
        <w:tc>
          <w:tcPr>
            <w:tcW w:w="9209" w:type="dxa"/>
            <w:shd w:val="clear" w:color="000000" w:fill="FFFFFF"/>
            <w:hideMark/>
          </w:tcPr>
          <w:p w14:paraId="37017B80" w14:textId="6D2070EB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1.4.б.2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Готувати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публікувати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різну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аналітичну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означеного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EEBB038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2D4429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640A6F91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7AF30AEF" w14:textId="77777777" w:rsidTr="005B343D">
        <w:trPr>
          <w:trHeight w:val="553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1E7EA0FF" w14:textId="46BE83DD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ІІ. ВРАХУВАННЯ </w:t>
            </w:r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ЕРНИХ ПОТРЕБ НА КОЖНОМУ ЕТАПІ РОЗРОБКИ МІСЦЕВОЇ ПОЛІТИКИ</w:t>
            </w:r>
          </w:p>
        </w:tc>
      </w:tr>
      <w:tr w:rsidR="005B343D" w:rsidRPr="005B343D" w14:paraId="26C87384" w14:textId="77777777" w:rsidTr="005B343D">
        <w:trPr>
          <w:trHeight w:val="703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58F76AC9" w14:textId="3B68013D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Врахувати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ерний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аспект на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проектування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місцевої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ситуації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проблем)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3D80FBD" w14:textId="77777777" w:rsidTr="005B343D">
        <w:trPr>
          <w:trHeight w:val="1837"/>
        </w:trPr>
        <w:tc>
          <w:tcPr>
            <w:tcW w:w="9209" w:type="dxa"/>
            <w:shd w:val="clear" w:color="000000" w:fill="FFFFFF"/>
            <w:hideMark/>
          </w:tcPr>
          <w:p w14:paraId="73046844" w14:textId="20CD6D53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2.1.а.1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огляд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нормативно-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містять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рівність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1.а.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пріоритети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нормативно-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2.1.а.3 Провести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депутатів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пріоритетів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0B20E654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0830CE1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535F8E04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22C9372B" w14:textId="77777777" w:rsidTr="005B343D">
        <w:trPr>
          <w:trHeight w:val="1192"/>
        </w:trPr>
        <w:tc>
          <w:tcPr>
            <w:tcW w:w="9209" w:type="dxa"/>
            <w:shd w:val="clear" w:color="000000" w:fill="FFFFFF"/>
          </w:tcPr>
          <w:p w14:paraId="4E09D935" w14:textId="104100AE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2.1.б.1 Провести/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Замовити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гендерного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сферах з метою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розривів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2.1.б.2 Донести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департаментів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відділів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підрозділів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співробітників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60" w:type="dxa"/>
            <w:shd w:val="clear" w:color="000000" w:fill="FFFFFF"/>
            <w:noWrap/>
          </w:tcPr>
          <w:p w14:paraId="6ADEA43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7A4EA34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35DAB7C8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2FD3F481" w14:textId="77777777" w:rsidTr="005B343D">
        <w:trPr>
          <w:trHeight w:val="1575"/>
        </w:trPr>
        <w:tc>
          <w:tcPr>
            <w:tcW w:w="9209" w:type="dxa"/>
            <w:shd w:val="clear" w:color="000000" w:fill="FFFFFF"/>
          </w:tcPr>
          <w:p w14:paraId="7504266A" w14:textId="4DDEA375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2.1.в.1 Провести/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замовити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потреб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хлопців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дівчат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2.1.в.2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Запровадити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систему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онлайн форму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2.1.в.3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департаментів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відділів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потреб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дівчат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хлопців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метою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потреб через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</w:tcPr>
          <w:p w14:paraId="3B429F8D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05EFC58F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5A7AB08D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5529E7E8" w14:textId="77777777" w:rsidTr="005B343D">
        <w:trPr>
          <w:trHeight w:val="1571"/>
        </w:trPr>
        <w:tc>
          <w:tcPr>
            <w:tcW w:w="9209" w:type="dxa"/>
            <w:shd w:val="clear" w:color="000000" w:fill="FFFFFF"/>
          </w:tcPr>
          <w:p w14:paraId="79640832" w14:textId="0044ED9F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2.1.г.3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Поширювати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проекти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рішень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передбачаючи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зворотного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1.г.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механізм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демократії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складанні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бюджетів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</w:tcPr>
          <w:p w14:paraId="0D9B559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1B2F12DE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77F38B0A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5AECCA5B" w14:textId="77777777" w:rsidTr="005B343D">
        <w:trPr>
          <w:trHeight w:val="701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62E088CB" w14:textId="627CFCA9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Інтегрувати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ерний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компонент на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стадії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місцевої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054B2CF3" w14:textId="77777777" w:rsidTr="005B343D">
        <w:trPr>
          <w:trHeight w:val="2075"/>
        </w:trPr>
        <w:tc>
          <w:tcPr>
            <w:tcW w:w="9209" w:type="dxa"/>
            <w:shd w:val="clear" w:color="000000" w:fill="FFFFFF"/>
            <w:hideMark/>
          </w:tcPr>
          <w:p w14:paraId="491BF381" w14:textId="535E60C7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2.2.а.1 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Провести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існуючих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предмет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пріоритетів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2.2.а.2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пріоритетів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2.2.а.3 Внести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/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пріоритетів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50596BA9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1841D65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4686DD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02AC63A3" w14:textId="77777777" w:rsidTr="005B343D">
        <w:trPr>
          <w:trHeight w:val="987"/>
        </w:trPr>
        <w:tc>
          <w:tcPr>
            <w:tcW w:w="9209" w:type="dxa"/>
            <w:shd w:val="clear" w:color="000000" w:fill="FFFFFF"/>
          </w:tcPr>
          <w:p w14:paraId="1657D281" w14:textId="331ED5B6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2.2.б.1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Врахувати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розриви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виявлені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розробці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2.б.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інструкцію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політик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спрямованих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розривів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дискримінації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</w:tcPr>
          <w:p w14:paraId="42336B9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000000" w:fill="FFFFFF"/>
            <w:noWrap/>
          </w:tcPr>
          <w:p w14:paraId="49B359B2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000000" w:fill="FFFFFF"/>
            <w:noWrap/>
          </w:tcPr>
          <w:p w14:paraId="0084D35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43D" w:rsidRPr="005B343D" w14:paraId="416F172F" w14:textId="77777777" w:rsidTr="005B343D">
        <w:trPr>
          <w:trHeight w:val="639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30081735" w14:textId="4498B8E3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Інтегрувати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ерний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компонент на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стадії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4610B6B6" w14:textId="77777777" w:rsidTr="005B343D">
        <w:trPr>
          <w:trHeight w:val="2310"/>
        </w:trPr>
        <w:tc>
          <w:tcPr>
            <w:tcW w:w="9209" w:type="dxa"/>
            <w:shd w:val="clear" w:color="000000" w:fill="FFFFFF"/>
            <w:hideMark/>
          </w:tcPr>
          <w:p w14:paraId="5DD93220" w14:textId="1D7E1D25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2.3.в.1 Провести 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замовити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точки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зору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їхньої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в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сферах,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залученням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сторін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Провести/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замовити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аудит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3.в.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Напрацювати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врахуванню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потреб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 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сферах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2.3.в.3 Внести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порядку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спираючись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сформовані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2.3.в.4 Провести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втручань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064DD79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689161B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2C5EA5F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12EC99E2" w14:textId="77777777" w:rsidTr="005B343D">
        <w:trPr>
          <w:trHeight w:val="656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0A3E4BBF" w14:textId="529D2DF9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Інтегрувати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ерний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компонент на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стадії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моніторингу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місцевої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217141BE" w14:textId="77777777" w:rsidTr="005B343D">
        <w:trPr>
          <w:trHeight w:val="420"/>
        </w:trPr>
        <w:tc>
          <w:tcPr>
            <w:tcW w:w="9209" w:type="dxa"/>
            <w:shd w:val="clear" w:color="000000" w:fill="FFFFFF"/>
            <w:hideMark/>
          </w:tcPr>
          <w:p w14:paraId="19D82F1F" w14:textId="6128060E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2.4.г.1 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Провести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оцінку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ступеня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залученості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5947EB2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CCD429C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6981539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7FDE32C1" w14:textId="77777777" w:rsidTr="005B343D">
        <w:trPr>
          <w:trHeight w:val="703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41D0BC8D" w14:textId="77777777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ІІІ. ЗАБЕЗПЕЧЕННЯ ЗБОРУ ДАНИХ, РОЗПОДІЛЕНИХ ЗА СТАТТЮ </w:t>
            </w:r>
          </w:p>
        </w:tc>
      </w:tr>
      <w:tr w:rsidR="005B343D" w:rsidRPr="005B343D" w14:paraId="6E371024" w14:textId="77777777" w:rsidTr="005B343D">
        <w:trPr>
          <w:trHeight w:val="845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0A4E0589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міграції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6080C6DE" w14:textId="77777777" w:rsidTr="005B343D">
        <w:trPr>
          <w:trHeight w:val="532"/>
        </w:trPr>
        <w:tc>
          <w:tcPr>
            <w:tcW w:w="9209" w:type="dxa"/>
            <w:shd w:val="clear" w:color="000000" w:fill="FFFFFF"/>
            <w:hideMark/>
          </w:tcPr>
          <w:p w14:paraId="517317D5" w14:textId="2889D2DE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3.1.а.1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розподілом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пунктах ОТГ)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7662FCE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644BB1E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05CB3A1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67B74563" w14:textId="77777777" w:rsidTr="005B343D">
        <w:trPr>
          <w:trHeight w:val="827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475A212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суспільно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важливих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рішень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913FB16" w14:textId="77777777" w:rsidTr="005B343D">
        <w:trPr>
          <w:trHeight w:val="703"/>
        </w:trPr>
        <w:tc>
          <w:tcPr>
            <w:tcW w:w="9209" w:type="dxa"/>
            <w:shd w:val="clear" w:color="000000" w:fill="FFFFFF"/>
            <w:hideMark/>
          </w:tcPr>
          <w:p w14:paraId="7CEDCDD7" w14:textId="4578A2CA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3.1.б.2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виборних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радах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3.1.б.3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розрізнені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кадрового складу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3.1.б.4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керівних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9FE9A01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766FD9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551B72E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06D2D73E" w14:textId="77777777" w:rsidTr="005B343D">
        <w:trPr>
          <w:trHeight w:val="719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2E94357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громадському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економічному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8EEE068" w14:textId="77777777" w:rsidTr="005B343D">
        <w:trPr>
          <w:trHeight w:val="656"/>
        </w:trPr>
        <w:tc>
          <w:tcPr>
            <w:tcW w:w="9209" w:type="dxa"/>
            <w:shd w:val="clear" w:color="000000" w:fill="FFFFFF"/>
            <w:hideMark/>
          </w:tcPr>
          <w:p w14:paraId="619818EC" w14:textId="5FE7C5FC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3.1.г.2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представленості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малому,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середньому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великому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бізнесі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(як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власники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230106CE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96EC3F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2961686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194AF105" w14:textId="77777777" w:rsidTr="005B343D">
        <w:trPr>
          <w:trHeight w:val="667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4FFC335A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6.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розподілені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статтю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49EE647" w14:textId="77777777" w:rsidTr="005B343D">
        <w:trPr>
          <w:trHeight w:val="703"/>
        </w:trPr>
        <w:tc>
          <w:tcPr>
            <w:tcW w:w="9209" w:type="dxa"/>
            <w:shd w:val="clear" w:color="000000" w:fill="FFFFFF"/>
            <w:hideMark/>
          </w:tcPr>
          <w:p w14:paraId="6B0D00D0" w14:textId="40EE77B4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3.1.е.3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геріатричних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3.1.е.5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людей/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життєвих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6CE52E0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2F230C12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6E92E66D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797F4BFE" w14:textId="77777777" w:rsidTr="005B343D">
        <w:trPr>
          <w:trHeight w:val="872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3135D6D4" w14:textId="6C92E539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IV. ПІДВИЩЕННЯ РІВНЯ КВАЛІФІКАЦІЇ ПРЕДСТАВНИКІВ ОРГАНІВ МІСЦЕВОГО САМОВРЯДУВАННЯ ТА ЗАЦІКАВЛЕНИХ СТОРІН З ПИТАНЬ РЕАЛІЗАЦІЇ </w:t>
            </w:r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 ПОЛІТИКИ</w:t>
            </w:r>
          </w:p>
        </w:tc>
      </w:tr>
      <w:tr w:rsidR="005B343D" w:rsidRPr="005B343D" w14:paraId="64E4127F" w14:textId="77777777" w:rsidTr="005B343D">
        <w:trPr>
          <w:trHeight w:val="841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23934C55" w14:textId="2F4AC965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системне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ОМС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6F29A7A7" w14:textId="77777777" w:rsidTr="005B343D">
        <w:trPr>
          <w:trHeight w:val="1505"/>
        </w:trPr>
        <w:tc>
          <w:tcPr>
            <w:tcW w:w="9209" w:type="dxa"/>
            <w:shd w:val="clear" w:color="000000" w:fill="FFFFFF"/>
            <w:hideMark/>
          </w:tcPr>
          <w:p w14:paraId="1CA68621" w14:textId="77777777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4.1.1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аудиторій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навчанні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сформувати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спільну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4.1.2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заходи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круглі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метою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налагодження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Центрами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B745A5C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9BB420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FDFFE4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6FC782A5" w14:textId="77777777" w:rsidTr="005B343D">
        <w:trPr>
          <w:trHeight w:val="2504"/>
        </w:trPr>
        <w:tc>
          <w:tcPr>
            <w:tcW w:w="9209" w:type="dxa"/>
            <w:shd w:val="clear" w:color="000000" w:fill="FFFFFF"/>
            <w:hideMark/>
          </w:tcPr>
          <w:p w14:paraId="2C1199AC" w14:textId="3A94BCE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4.2.2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гендерним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стереотипам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4.2.3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гендерного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гендерного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впливу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4.2.4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інструментами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гендерного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інтегрування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 гендерного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бюджетування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4.2.5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систематичні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семінари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посилення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гендерно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обумовленому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насильству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торгівлі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людьми,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налагодження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ефективної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означених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A411375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6D943D4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6AFFBB7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1A086EF9" w14:textId="77777777" w:rsidTr="005B343D">
        <w:trPr>
          <w:trHeight w:val="1302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53EBD99E" w14:textId="6B57A9FF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організаційно-методичне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ОМС та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7D297C29" w14:textId="77777777" w:rsidTr="005B343D">
        <w:trPr>
          <w:trHeight w:val="1800"/>
        </w:trPr>
        <w:tc>
          <w:tcPr>
            <w:tcW w:w="9209" w:type="dxa"/>
            <w:shd w:val="clear" w:color="000000" w:fill="FFFFFF"/>
            <w:hideMark/>
          </w:tcPr>
          <w:p w14:paraId="50960180" w14:textId="53CD6764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4.3.2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Узгодити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зацікавлених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організованих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зовнішніми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проектами/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4.3.4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ОМС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тренінгів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онлайн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25C46A7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7B34037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57679C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6962354C" w14:textId="77777777" w:rsidTr="005B343D">
        <w:trPr>
          <w:trHeight w:val="1037"/>
        </w:trPr>
        <w:tc>
          <w:tcPr>
            <w:tcW w:w="9209" w:type="dxa"/>
            <w:shd w:val="clear" w:color="000000" w:fill="FFFFFF"/>
            <w:hideMark/>
          </w:tcPr>
          <w:p w14:paraId="3B8D20B0" w14:textId="0A045973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4.4.2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Передбачити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представників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цільових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підвищенні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відрядження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-методична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інше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02BDA14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D59F87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F9D1CAF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778E9538" w14:textId="77777777" w:rsidTr="005B343D">
        <w:trPr>
          <w:trHeight w:val="558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52AAA526" w14:textId="2D0B3CCA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V. ПРОВЕДЕННЯ ІНФОРМАЦІЙНО-ПРОСВІТНИЦЬКИХ КАМПАНІЙ З ПИТАНЬ </w:t>
            </w:r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 РІВНОСТІ</w:t>
            </w:r>
          </w:p>
        </w:tc>
      </w:tr>
      <w:tr w:rsidR="005B343D" w:rsidRPr="005B343D" w14:paraId="690CE7B6" w14:textId="77777777" w:rsidTr="005B343D">
        <w:trPr>
          <w:trHeight w:val="1302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33FF6D32" w14:textId="498C8883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1. Регулярно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інформаційно-просвітницькі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кампанії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з</w:t>
            </w:r>
            <w:proofErr w:type="gram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1D796689" w14:textId="77777777" w:rsidTr="005B343D">
        <w:trPr>
          <w:trHeight w:val="813"/>
        </w:trPr>
        <w:tc>
          <w:tcPr>
            <w:tcW w:w="9209" w:type="dxa"/>
            <w:shd w:val="clear" w:color="000000" w:fill="FFFFFF"/>
            <w:hideMark/>
          </w:tcPr>
          <w:p w14:paraId="2F221513" w14:textId="2460AF4C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5.1.4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інформаційно-просвітницькі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заходи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хлопців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5.1.5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інформаційно-просвітницькі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заходи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дівчат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98F393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1692DF7B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B9425C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0E6EFA7D" w14:textId="77777777" w:rsidTr="005B343D">
        <w:trPr>
          <w:trHeight w:val="565"/>
        </w:trPr>
        <w:tc>
          <w:tcPr>
            <w:tcW w:w="9209" w:type="dxa"/>
            <w:shd w:val="clear" w:color="000000" w:fill="FFFFFF"/>
            <w:hideMark/>
          </w:tcPr>
          <w:p w14:paraId="555F4E31" w14:textId="6BCE0426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5.2.6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інформаційно-просвітницькі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кампанії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стереотипів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освіті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ринку</w:t>
            </w:r>
            <w:proofErr w:type="gram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4477F06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05E0DF2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1EDC8F3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6AB8E997" w14:textId="77777777" w:rsidTr="005B343D">
        <w:trPr>
          <w:trHeight w:val="535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528C4827" w14:textId="42AB04F3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Використати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різні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комунікаційні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канали для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6D099D65" w14:textId="77777777" w:rsidTr="005B343D">
        <w:trPr>
          <w:trHeight w:val="1349"/>
        </w:trPr>
        <w:tc>
          <w:tcPr>
            <w:tcW w:w="9209" w:type="dxa"/>
            <w:shd w:val="clear" w:color="000000" w:fill="FFFFFF"/>
            <w:hideMark/>
          </w:tcPr>
          <w:p w14:paraId="52E6357F" w14:textId="1F63C173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5.3.1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Поширювати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сайт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  <w:t xml:space="preserve">5.3.4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кампаній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</w:p>
        </w:tc>
        <w:tc>
          <w:tcPr>
            <w:tcW w:w="2060" w:type="dxa"/>
            <w:shd w:val="clear" w:color="000000" w:fill="FFFFFF"/>
            <w:noWrap/>
            <w:hideMark/>
          </w:tcPr>
          <w:p w14:paraId="649F3BB3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4BC237D0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74E41514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343D" w:rsidRPr="005B343D" w14:paraId="43AC47E9" w14:textId="77777777" w:rsidTr="005B343D">
        <w:trPr>
          <w:trHeight w:val="845"/>
        </w:trPr>
        <w:tc>
          <w:tcPr>
            <w:tcW w:w="15269" w:type="dxa"/>
            <w:gridSpan w:val="4"/>
            <w:shd w:val="clear" w:color="000000" w:fill="D9E1F2"/>
            <w:vAlign w:val="center"/>
            <w:hideMark/>
          </w:tcPr>
          <w:p w14:paraId="243FEE78" w14:textId="60635E6D" w:rsidR="005B343D" w:rsidRPr="005B343D" w:rsidRDefault="005B343D" w:rsidP="005B3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VI. ЗАПРОВАДЖЕННЯ КОНКРЕТНИХ ЗАХОДІВ/ДІЙ/ПРАКТИК ДЛЯ ЗАБЕЗПЕЧЕННЯ </w:t>
            </w:r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 РІВНОСТІ У ВИКОНАВЧИХ ОРГАНАХ ОМС ТА КОМУНАЛЬНИХ ПІДПРИЄМСТВАХ/УСТАНОВАХ/ОРГАНІЗАЦІЯХ</w:t>
            </w:r>
          </w:p>
        </w:tc>
      </w:tr>
      <w:tr w:rsidR="005B343D" w:rsidRPr="005B343D" w14:paraId="06206FF6" w14:textId="77777777" w:rsidTr="005B343D">
        <w:trPr>
          <w:trHeight w:val="702"/>
        </w:trPr>
        <w:tc>
          <w:tcPr>
            <w:tcW w:w="15269" w:type="dxa"/>
            <w:gridSpan w:val="4"/>
            <w:shd w:val="clear" w:color="auto" w:fill="auto"/>
            <w:vAlign w:val="center"/>
            <w:hideMark/>
          </w:tcPr>
          <w:p w14:paraId="56EABB4D" w14:textId="76EE51EA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Запровадити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заходи/практики для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3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генд</w:t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ерної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рівності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робочому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місці</w:t>
            </w:r>
            <w:proofErr w:type="spellEnd"/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B343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5B34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Заходи:</w:t>
            </w:r>
          </w:p>
        </w:tc>
      </w:tr>
      <w:tr w:rsidR="005B343D" w:rsidRPr="005B343D" w14:paraId="62DFEA0B" w14:textId="77777777" w:rsidTr="005B343D">
        <w:trPr>
          <w:trHeight w:val="529"/>
        </w:trPr>
        <w:tc>
          <w:tcPr>
            <w:tcW w:w="9209" w:type="dxa"/>
            <w:shd w:val="clear" w:color="000000" w:fill="FFFFFF"/>
            <w:hideMark/>
          </w:tcPr>
          <w:p w14:paraId="2573F4EE" w14:textId="77836CC4" w:rsidR="005B343D" w:rsidRPr="005B343D" w:rsidRDefault="005B343D" w:rsidP="005B343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6.3.в.1 Провести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аудит на предмет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гідних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безпечних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6C8809A7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noWrap/>
            <w:hideMark/>
          </w:tcPr>
          <w:p w14:paraId="39E7388A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hideMark/>
          </w:tcPr>
          <w:p w14:paraId="7670DD1F" w14:textId="77777777" w:rsidR="005B343D" w:rsidRPr="005B343D" w:rsidRDefault="005B343D" w:rsidP="005B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B34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9D06839" w14:textId="03A54BC3" w:rsidR="00C146C2" w:rsidRDefault="00C146C2">
      <w:pPr>
        <w:rPr>
          <w:lang w:val="uk-UA"/>
        </w:rPr>
      </w:pPr>
    </w:p>
    <w:p w14:paraId="775831E8" w14:textId="2EC1ADC5" w:rsidR="00C0049A" w:rsidRDefault="00C0049A">
      <w:pPr>
        <w:rPr>
          <w:lang w:val="uk-UA"/>
        </w:rPr>
      </w:pPr>
    </w:p>
    <w:p w14:paraId="57341F3A" w14:textId="45FB47B7" w:rsidR="00C0049A" w:rsidRPr="003D538B" w:rsidRDefault="00C0049A" w:rsidP="00C0049A">
      <w:pPr>
        <w:ind w:right="-3827"/>
        <w:jc w:val="center"/>
        <w:rPr>
          <w:lang w:val="uk-UA"/>
        </w:rPr>
      </w:pPr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Розробка Інструментарію оцінки стану </w:t>
      </w:r>
      <w:r w:rsidR="00F143A7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генд</w:t>
      </w:r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ерної рівності стала можливою завдяки щирій підтримці американського народу через програму «Децентралізація приносить кращі результати та ефективність» (DOBRE), яка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адмініструється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 організацією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Global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Communities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 та фінансується Агентством США з міжнародного розвитку (USAID). Зміст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Інтрументарію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 є відповідальністю Національного Демократичного Інституту (NDI) і не обов’язково відображає поглядів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Global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 xml:space="preserve"> </w:t>
      </w:r>
      <w:proofErr w:type="spellStart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Communities</w:t>
      </w:r>
      <w:proofErr w:type="spellEnd"/>
      <w:r w:rsidRPr="00F75B13">
        <w:rPr>
          <w:rFonts w:ascii="Calibri" w:eastAsia="Times New Roman" w:hAnsi="Calibri" w:cs="Times New Roman"/>
          <w:b/>
          <w:bCs/>
          <w:i/>
          <w:iCs/>
          <w:color w:val="4472C4"/>
          <w:lang w:val="uk-UA" w:eastAsia="ru-RU"/>
        </w:rPr>
        <w:t>, програми DOBRE, USAID чи уряду Сполучених Штатів Америки.</w:t>
      </w:r>
    </w:p>
    <w:sectPr w:rsidR="00C0049A" w:rsidRPr="003D538B" w:rsidSect="005B343D">
      <w:pgSz w:w="16838" w:h="11906" w:orient="landscape"/>
      <w:pgMar w:top="1701" w:right="422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B"/>
    <w:rsid w:val="003D538B"/>
    <w:rsid w:val="005B343D"/>
    <w:rsid w:val="00C0049A"/>
    <w:rsid w:val="00C146C2"/>
    <w:rsid w:val="00EF324F"/>
    <w:rsid w:val="00F143A7"/>
    <w:rsid w:val="00F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793"/>
  <w15:chartTrackingRefBased/>
  <w15:docId w15:val="{BF8F93DF-DE71-4137-BAD0-9B7FF77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Малько</dc:creator>
  <cp:keywords/>
  <dc:description/>
  <cp:lastModifiedBy>Юлія Малько</cp:lastModifiedBy>
  <cp:revision>4</cp:revision>
  <dcterms:created xsi:type="dcterms:W3CDTF">2020-12-24T09:39:00Z</dcterms:created>
  <dcterms:modified xsi:type="dcterms:W3CDTF">2020-12-24T09:53:00Z</dcterms:modified>
</cp:coreProperties>
</file>