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0512" w14:textId="03303FCC" w:rsidR="00010319" w:rsidRPr="00010319" w:rsidRDefault="00010319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З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віт  про </w:t>
      </w:r>
      <w:r w:rsidR="00393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періодичне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відстеження  результативності  </w:t>
      </w:r>
    </w:p>
    <w:p w14:paraId="7FCA027B" w14:textId="77777777" w:rsidR="00C342B2" w:rsidRDefault="009B6506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регуляторного  акта - рішення  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Покровської селищної</w:t>
      </w: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  ради</w:t>
      </w:r>
      <w:r w:rsidR="00C34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</w:p>
    <w:p w14:paraId="627D6C78" w14:textId="7DAFBD54" w:rsidR="009B6506" w:rsidRPr="008A0D6A" w:rsidRDefault="00C342B2" w:rsidP="008A0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від </w:t>
      </w:r>
      <w:r w:rsidR="00393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.0</w:t>
      </w:r>
      <w:r w:rsidR="00393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.201</w:t>
      </w:r>
      <w:r w:rsidR="00393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року № </w:t>
      </w:r>
      <w:r w:rsidR="00393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1178-35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UA"/>
        </w:rPr>
        <w:t>VI</w:t>
      </w:r>
      <w:r w:rsidRPr="00C34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UA"/>
        </w:rPr>
        <w:t xml:space="preserve">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«Про встановлення  </w:t>
      </w:r>
      <w:r w:rsidR="008A0D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туристичного збору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»</w:t>
      </w:r>
    </w:p>
    <w:p w14:paraId="00B73002" w14:textId="77777777" w:rsidR="009B6506" w:rsidRPr="0001031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1031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 </w:t>
      </w:r>
    </w:p>
    <w:p w14:paraId="0EB96C3C" w14:textId="4A1676CA" w:rsidR="009B6506" w:rsidRPr="008A0D6A" w:rsidRDefault="009B6506" w:rsidP="008A0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1. </w:t>
      </w:r>
      <w:r w:rsidR="008F0A79"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Вид та н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азва регуляторного  акта,  результативність якого відстежується: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="008A0D6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рішення «Про встановлення туристичного збору»</w:t>
      </w:r>
    </w:p>
    <w:p w14:paraId="337C2900" w14:textId="2F16C4BD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 2. </w:t>
      </w:r>
      <w:r w:rsid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Назва в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иконавц</w:t>
      </w:r>
      <w:r w:rsid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я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 заходів з  відстеження</w:t>
      </w: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Виконавчий комітет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024B2CC0" w14:textId="543B199C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3. Цілі прийняття акта: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встановлення розмірів ставок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туристичного 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збору на території Покровської селищної ради; забезпечення надходжень до бюджету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окровської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; забезпечення дотримання вимог Податкового кодексу щодо місцевих податків і зборів.</w:t>
      </w:r>
    </w:p>
    <w:p w14:paraId="41E8C062" w14:textId="481FAD85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4.Строк виконання  заходів  з  відстеження: 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 </w:t>
      </w:r>
      <w:r w:rsidR="00640E2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13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C66872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</w:t>
      </w:r>
      <w:r w:rsidR="00640E2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5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C62B6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до</w:t>
      </w:r>
      <w:r w:rsidR="007D7C7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640E2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03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C66872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</w:t>
      </w:r>
      <w:r w:rsidR="00640E2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6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C62B6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(включно).</w:t>
      </w:r>
    </w:p>
    <w:p w14:paraId="5EC5734D" w14:textId="32FCC1DF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5. Тип  відстеження</w:t>
      </w: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  </w:t>
      </w:r>
      <w:r w:rsidR="00C66872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періодичне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0F320D85" w14:textId="2D09E3C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6. Методи  одержання  результатів  відстеження: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="0083042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статистичний</w:t>
      </w:r>
      <w:r w:rsidR="00AB708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64607D71" w14:textId="75B0E44F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7. Дані та припущення, на основі яких відстежувалася результативність регуляторного акта, а також спосіб одержання даних: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аналіз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інформації отриманої листом від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Західно-Донбаського управління ГУ ДФС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 щодо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7540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кількості суб’єктів господарювання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та  </w:t>
      </w:r>
      <w:r w:rsidR="00640E2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дані виписок, звітів Державної казначейської служби України</w:t>
      </w:r>
      <w:r w:rsidR="006436C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щодо</w:t>
      </w:r>
      <w:r w:rsidR="00640E2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надходжен</w:t>
      </w:r>
      <w:r w:rsidR="00437FB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ня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до бюджету </w:t>
      </w:r>
      <w:r w:rsidR="00E5381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у частині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сплати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туристичного </w:t>
      </w:r>
      <w:r w:rsidR="005732B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збору</w:t>
      </w:r>
      <w:r w:rsidR="0073070E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73070E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а також </w:t>
      </w:r>
      <w:r w:rsidR="00D4350B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інформування </w:t>
      </w:r>
      <w:r w:rsidR="00EE5E70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суб’єктів господарювання</w:t>
      </w:r>
      <w:r w:rsidR="00EE5E70" w:rsidRPr="00EE5E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EE5E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та/або фізичних осіб</w:t>
      </w:r>
      <w:r w:rsidR="0016365F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 основних положень регуляторного акта</w:t>
      </w:r>
      <w:r w:rsidR="00D4350B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300F25C0" w14:textId="55D09CE2" w:rsidR="009B6506" w:rsidRPr="00734E8B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8.Кількісні  та  якісні  значення  показників  результативності  регуляторного  акта.</w:t>
      </w:r>
    </w:p>
    <w:p w14:paraId="55BD6312" w14:textId="54E498C6" w:rsidR="0061618C" w:rsidRDefault="0061618C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Враховуючи цілі прийняття акта, для відстеження результативності регуляторного акта були визначені такі показники результативності:</w:t>
      </w:r>
    </w:p>
    <w:p w14:paraId="32F81AE8" w14:textId="0B4B89F0" w:rsidR="0061618C" w:rsidRDefault="005732B4" w:rsidP="0061618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Кількість суб’єктів господарювання, на яких розповсюджується дія акта, осіб</w:t>
      </w:r>
      <w:r w:rsidR="006161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;</w:t>
      </w:r>
    </w:p>
    <w:p w14:paraId="6BF778A7" w14:textId="583F9A10" w:rsidR="00D86BBA" w:rsidRPr="00D86BBA" w:rsidRDefault="00D86BBA" w:rsidP="00D86B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Розмір надходжень </w:t>
      </w:r>
      <w:r w:rsidR="000F1A7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туристичного збору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до бюджету селищної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об’єднаної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, грн;</w:t>
      </w:r>
    </w:p>
    <w:p w14:paraId="0C9EC8E4" w14:textId="65D1C5CC" w:rsidR="0061618C" w:rsidRPr="0061618C" w:rsidRDefault="0061618C" w:rsidP="0061618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Рівень поінформованості </w:t>
      </w:r>
      <w:r w:rsidR="00D870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суб’єктів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господарювання</w:t>
      </w:r>
      <w:r w:rsidR="005732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та/або фізичних осіб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з основних положень акта</w:t>
      </w:r>
      <w:r w:rsidR="00D870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.</w:t>
      </w:r>
    </w:p>
    <w:p w14:paraId="0633C9C2" w14:textId="38D8894B" w:rsidR="00D86BBA" w:rsidRPr="00D86BBA" w:rsidRDefault="00D86BBA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</w:pPr>
      <w:r w:rsidRPr="00D86B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Кількість суб’єктів господарювання на яких розповсюджується дія акта.</w:t>
      </w:r>
    </w:p>
    <w:p w14:paraId="0927FFB1" w14:textId="1B1CBA11" w:rsidR="005732B4" w:rsidRPr="00AB7F99" w:rsidRDefault="005732B4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Рішення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поширюється на суб’єктів господарювання, які є платниками </w:t>
      </w:r>
      <w:r w:rsidR="00631B7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туристичного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збору. </w:t>
      </w:r>
      <w:r w:rsidR="004653F2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У період, за який здійснюється періодичне відстеження, 2016-2019 роки відсутні на обліку платники туристичного збору.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За інформацією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Західно-Донбаського управління ГУ ДФС</w:t>
      </w:r>
      <w:r w:rsidR="00D86BBA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(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="00D86BBA"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від </w:t>
      </w:r>
      <w:r w:rsidR="00170B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20.05.2019 року №59279/04-36-54-50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) </w:t>
      </w:r>
      <w:r w:rsidR="00D86B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на податковому обліку не перебувають платники з</w:t>
      </w:r>
      <w:r w:rsidR="00631B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туристичного </w:t>
      </w:r>
      <w:r w:rsidR="00D86B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збору.</w:t>
      </w:r>
    </w:p>
    <w:p w14:paraId="1AD34AC0" w14:textId="0AC3960A" w:rsidR="00D86BBA" w:rsidRPr="005732B4" w:rsidRDefault="00D86BBA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UA"/>
        </w:rPr>
      </w:pP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Розмір надходжень</w:t>
      </w:r>
      <w:r w:rsidR="000F1A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туристичного збору</w:t>
      </w: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до бюджету селищної </w:t>
      </w:r>
      <w:r w:rsidRPr="00D86B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UA"/>
        </w:rPr>
        <w:t>об’єднаної територіальної громади</w:t>
      </w:r>
      <w:r w:rsidR="000F1A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.</w:t>
      </w:r>
    </w:p>
    <w:p w14:paraId="36E75622" w14:textId="6E305A66" w:rsidR="00D86BBA" w:rsidRDefault="004653F2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У період, за який здійснюється періодичне відстеження, 2016-2019 роки відсутні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надходження від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туристичного збору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до бюджету Покровської селищної об’єднаної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. </w:t>
      </w:r>
      <w:r w:rsidR="00CA225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</w:t>
      </w:r>
      <w:r w:rsidR="00D86BBA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а інформацією </w:t>
      </w:r>
      <w:r w:rsidR="006436C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звіту про виконання місцевих бюджетів за доходами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Державного казначейства України</w:t>
      </w:r>
      <w:r w:rsidR="006436C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станом на 03.06.2019 року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CA225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до бюджету </w:t>
      </w:r>
      <w:r w:rsidR="006436C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Покровської </w:t>
      </w:r>
      <w:r w:rsidR="00CA225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селищної об’єднаної територіальної громади від сплати туристичного збору кошти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не надходили.</w:t>
      </w:r>
      <w:r w:rsidR="00170B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</w:p>
    <w:p w14:paraId="02BBAED1" w14:textId="77777777" w:rsidR="004653F2" w:rsidRDefault="004653F2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</w:pPr>
    </w:p>
    <w:p w14:paraId="47762B81" w14:textId="5008F569" w:rsidR="009B6506" w:rsidRPr="00CF5F14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CF5F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lastRenderedPageBreak/>
        <w:t>Рівень поінформованості суб’єктів господарювання з основних положень акта.</w:t>
      </w:r>
    </w:p>
    <w:p w14:paraId="42B43BC5" w14:textId="737CA9DE" w:rsidR="009B6506" w:rsidRPr="00CF5F14" w:rsidRDefault="00640E2C" w:rsidP="00CA3AC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</w:t>
      </w:r>
      <w:r w:rsidR="00FE3AC9"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ішення селищної ради </w:t>
      </w:r>
      <w:r w:rsidR="000A072B" w:rsidRPr="00CF5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</w:t>
      </w:r>
      <w:r w:rsidR="00CA225D" w:rsidRPr="00CF5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туристичного збору»</w:t>
      </w:r>
      <w:r w:rsidR="00FE3AC9"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оприлюднено на офіційному веб-сайті Покровської селищної об’єднаної територіальної громади</w:t>
      </w:r>
      <w:r w:rsidR="00CD6387"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(сайт: </w:t>
      </w:r>
      <w:hyperlink r:id="rId5" w:history="1">
        <w:r w:rsidR="00CD6387" w:rsidRPr="00CF5F14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https://pokr.otg.dp.gov.ua</w:t>
        </w:r>
      </w:hyperlink>
      <w:r w:rsidR="00CD6387" w:rsidRPr="00CF5F14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  <w:lang w:val="uk-UA"/>
        </w:rPr>
        <w:t>)</w:t>
      </w:r>
      <w:r w:rsidR="00CD6387"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4E7350"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</w:p>
    <w:p w14:paraId="354DB8BE" w14:textId="51C4EB74" w:rsidR="009B6506" w:rsidRPr="00CF5F14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CF5F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9. Оцінка результатів реалізації регуляторного акта та ступеня досягнення визначених цілей.</w:t>
      </w:r>
    </w:p>
    <w:p w14:paraId="2B85FA71" w14:textId="77777777" w:rsidR="004B11F7" w:rsidRPr="00CF5F14" w:rsidRDefault="004B11F7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Оскільки, відповідно до </w:t>
      </w:r>
      <w:r w:rsidRPr="00CF5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листа</w:t>
      </w:r>
      <w:r w:rsidRPr="00CF5F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від 20.05.2019 року №59279/04-36-54-50 Західно-Донбаського управління ГУ ДФС у Дніпропетровській області на податковому обліку не перебувають платники з туристичного збору, то</w:t>
      </w: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прийнятий акт є механізмом для майбутніх надавачів відповідних послуг та залучення додаткових </w:t>
      </w: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коштів до бюджету</w:t>
      </w: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. </w:t>
      </w:r>
    </w:p>
    <w:p w14:paraId="5710A584" w14:textId="0B47F79D" w:rsidR="00E74047" w:rsidRPr="00CF5F14" w:rsidRDefault="004B11F7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Крім цього, Покровською селищною ОТГ у 2017 році було прийнято Стратегію розвитку  Покровської територіальної громади на 2017-2025 роки, в яку включено операційну ціль 1.4. Підтримка неаграрних видів економічної діяльності, в тому числі багатоаспектного туризму, який спирається на місцевий потенціал. Для досягнення цієї цілі визначено завдання:</w:t>
      </w:r>
      <w:r w:rsidR="002F3A2E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1.4.1 Підвищення кваліфікації потенційних організаторів туристичної діяльності на селі;</w:t>
      </w:r>
      <w:r w:rsidR="002F3A2E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1.4.2 Створення концепції розвитку сільського та інших видів багатоаспектного туризму;</w:t>
      </w:r>
      <w:r w:rsidR="002F3A2E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1.4.3 Створення нових пропозицій туризму та відпочинку в Покровській громаді;</w:t>
      </w:r>
      <w:r w:rsidR="002F3A2E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1.4.4 Розвиток інфраструктури гостинності </w:t>
      </w:r>
    </w:p>
    <w:p w14:paraId="503686B7" w14:textId="638128CB" w:rsidR="004B11F7" w:rsidRPr="00CF5F14" w:rsidRDefault="004B11F7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Тобто, Покровська селищна ОТГ працює у напрямку розвитку </w:t>
      </w:r>
      <w:r w:rsidR="00CF5F14"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сільського туризму, що у майбутньому має забезпечити додаткові надходження до бюджету.</w:t>
      </w:r>
    </w:p>
    <w:p w14:paraId="6D06E1D0" w14:textId="69698C1F" w:rsidR="00CF5F14" w:rsidRPr="00CF5F14" w:rsidRDefault="00CF5F14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CF5F1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У період виконання заходів з відстеження кількісні значення показників результативності регуляторного акта не змінилися з моменту прийняття:</w:t>
      </w:r>
    </w:p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693"/>
      </w:tblGrid>
      <w:tr w:rsidR="009B6506" w:rsidRPr="008F0A79" w14:paraId="6C876956" w14:textId="77777777" w:rsidTr="00EE5E70">
        <w:trPr>
          <w:trHeight w:val="227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75D07" w14:textId="2BB77367" w:rsidR="009B6506" w:rsidRPr="00D3575F" w:rsidRDefault="009B6506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8F0A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val="uk-UA" w:eastAsia="ru-UA"/>
              </w:rPr>
              <w:t> </w:t>
            </w:r>
            <w:r w:rsidR="004B1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UA"/>
              </w:rPr>
              <w:t>Назва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8C842" w14:textId="012EB857" w:rsidR="009B6506" w:rsidRPr="00D3575F" w:rsidRDefault="004B11F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UA"/>
              </w:rPr>
              <w:t>Показник</w:t>
            </w:r>
          </w:p>
        </w:tc>
      </w:tr>
      <w:tr w:rsidR="009B6506" w:rsidRPr="008F0A79" w14:paraId="15437990" w14:textId="77777777" w:rsidTr="00EE5E70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E0EE85" w14:textId="45ABC295" w:rsidR="009B6506" w:rsidRPr="007F2607" w:rsidRDefault="00D866C1" w:rsidP="00D86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Кількість суб’єктів господарювання, на яких розповсюджується дія акта, осіб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*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61A16" w14:textId="0DA5A02F" w:rsidR="009B6506" w:rsidRPr="007F2607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0</w:t>
            </w:r>
          </w:p>
        </w:tc>
      </w:tr>
      <w:tr w:rsidR="009B6506" w:rsidRPr="008F0A79" w14:paraId="7B3E08D7" w14:textId="77777777" w:rsidTr="00EE5E70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9B4C4C" w14:textId="14283443" w:rsidR="009B6506" w:rsidRPr="007F2607" w:rsidRDefault="00D866C1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Розмір надходжень </w:t>
            </w:r>
            <w:r w:rsidR="00EE5E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туристичного збору 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до бюджету селищної 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об’єднаної територіальної громади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, грн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*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AE848" w14:textId="25FED470" w:rsidR="00D3575F" w:rsidRPr="007F2607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0</w:t>
            </w:r>
          </w:p>
        </w:tc>
      </w:tr>
      <w:tr w:rsidR="009B6506" w:rsidRPr="008F0A79" w14:paraId="13518CB4" w14:textId="77777777" w:rsidTr="007F2607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67A342" w14:textId="24ED5B71" w:rsidR="009B6506" w:rsidRPr="007F2607" w:rsidRDefault="0061418A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поінформованості суб’єктів господарювання з основних положень акта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F16FB" w14:textId="20780E9B" w:rsidR="00734E8B" w:rsidRPr="007F2607" w:rsidRDefault="004B11F7" w:rsidP="00D86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Середній</w:t>
            </w:r>
          </w:p>
        </w:tc>
      </w:tr>
    </w:tbl>
    <w:p w14:paraId="78AFD170" w14:textId="1BC3CCED" w:rsidR="0079248D" w:rsidRPr="007F2607" w:rsidRDefault="009B6506" w:rsidP="007F2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</w:pPr>
      <w:r w:rsidRPr="00734E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 </w:t>
      </w:r>
      <w:r w:rsidRPr="007924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*</w:t>
      </w:r>
      <w:r w:rsidR="007F2607" w:rsidRPr="007F26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Згідно даних</w:t>
      </w:r>
      <w:r w:rsidR="007F26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лист</w:t>
      </w:r>
      <w:r w:rsid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а</w:t>
      </w:r>
      <w:r w:rsidR="007F2607" w:rsidRPr="007F2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UA"/>
        </w:rPr>
        <w:t> 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 xml:space="preserve">від </w:t>
      </w:r>
      <w:r w:rsidR="00170BDF"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="00170BDF"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="00170BDF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від </w:t>
      </w:r>
      <w:r w:rsidR="00170B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20.05.2019 року №59279/04-36-54-50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Західно-Донбаського управління</w:t>
      </w:r>
      <w:r w:rsidR="00755FF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ГУ ДФС у Дніпропетровській області</w:t>
      </w:r>
    </w:p>
    <w:p w14:paraId="21030EC2" w14:textId="77777777" w:rsidR="002F3A2E" w:rsidRDefault="00CF5F14" w:rsidP="00CF5F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F5F1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59BBCD7C" w14:textId="0D59FC06" w:rsidR="00CF5F14" w:rsidRPr="002F3A2E" w:rsidRDefault="00CF5F14" w:rsidP="00CF5F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За результатами </w:t>
      </w:r>
      <w:r w:rsidRPr="002F3A2E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періодичного відстеження регуляторний акт - рішення 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селищної 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ради від 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30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.0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1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.201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5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№ 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1178-35/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</w:t>
      </w:r>
      <w:r w:rsidRPr="002F3A2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UA"/>
        </w:rPr>
        <w:t>VI</w:t>
      </w:r>
      <w:r w:rsidRPr="002F3A2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UA"/>
        </w:rPr>
        <w:t xml:space="preserve"> </w:t>
      </w:r>
      <w:r w:rsidRPr="002F3A2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«Про встановлення  туристичного збору»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діє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та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буде 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перегляд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атися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у зв’язку із 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внесення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>м</w:t>
      </w:r>
      <w:r w:rsidRPr="002F3A2E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змін на законодавчому рівні.</w:t>
      </w:r>
    </w:p>
    <w:p w14:paraId="2E705DCA" w14:textId="77777777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74CC119C" w14:textId="77777777" w:rsidR="002F3A2E" w:rsidRDefault="002F3A2E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670757BE" w14:textId="77777777" w:rsidR="002F3A2E" w:rsidRDefault="002F3A2E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21020758" w14:textId="53CC7DEA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Покровський селищний голова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  <w:t>С.А. СПАЖЕВА</w:t>
      </w:r>
    </w:p>
    <w:p w14:paraId="35DE01F0" w14:textId="20FD21AA" w:rsidR="00B5703C" w:rsidRDefault="00B5703C" w:rsidP="00B5703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A01498E" w14:textId="30FFEC8B" w:rsidR="00B5703C" w:rsidRDefault="002F3A2E" w:rsidP="00B5703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04</w:t>
      </w:r>
      <w:r w:rsidR="00B5703C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06</w:t>
      </w:r>
      <w:r w:rsidR="00B5703C">
        <w:rPr>
          <w:rFonts w:ascii="Times New Roman" w:hAnsi="Times New Roman" w:cs="Times New Roman"/>
          <w:sz w:val="26"/>
          <w:szCs w:val="26"/>
          <w:lang w:val="uk-UA"/>
        </w:rPr>
        <w:t>.2019 року</w:t>
      </w:r>
    </w:p>
    <w:p w14:paraId="25A8A2B8" w14:textId="51773F90" w:rsidR="00640E2C" w:rsidRDefault="00640E2C" w:rsidP="00640E2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66CE6588" w14:textId="77777777" w:rsidR="00640E2C" w:rsidRPr="00640E2C" w:rsidRDefault="00640E2C" w:rsidP="00640E2C">
      <w:pPr>
        <w:ind w:firstLine="72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40E2C" w:rsidRPr="00640E2C" w:rsidSect="0063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0299"/>
    <w:multiLevelType w:val="hybridMultilevel"/>
    <w:tmpl w:val="1C040DA0"/>
    <w:lvl w:ilvl="0" w:tplc="578AB7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FD"/>
    <w:rsid w:val="00003992"/>
    <w:rsid w:val="00010319"/>
    <w:rsid w:val="00014E45"/>
    <w:rsid w:val="00080F92"/>
    <w:rsid w:val="000A072B"/>
    <w:rsid w:val="000A4B81"/>
    <w:rsid w:val="000F1A72"/>
    <w:rsid w:val="0016365F"/>
    <w:rsid w:val="00170BDF"/>
    <w:rsid w:val="001D7CE7"/>
    <w:rsid w:val="00211CD1"/>
    <w:rsid w:val="0023448D"/>
    <w:rsid w:val="002623CA"/>
    <w:rsid w:val="002C2968"/>
    <w:rsid w:val="002D5F3C"/>
    <w:rsid w:val="002F02F8"/>
    <w:rsid w:val="002F3A2E"/>
    <w:rsid w:val="00316BFD"/>
    <w:rsid w:val="00332967"/>
    <w:rsid w:val="00353999"/>
    <w:rsid w:val="00393026"/>
    <w:rsid w:val="003A3E1A"/>
    <w:rsid w:val="003E2460"/>
    <w:rsid w:val="003E28B7"/>
    <w:rsid w:val="003E6E37"/>
    <w:rsid w:val="00405B5B"/>
    <w:rsid w:val="00437FB1"/>
    <w:rsid w:val="004653F2"/>
    <w:rsid w:val="004B11F7"/>
    <w:rsid w:val="004B376C"/>
    <w:rsid w:val="004E7350"/>
    <w:rsid w:val="0051078C"/>
    <w:rsid w:val="005230CD"/>
    <w:rsid w:val="005504DE"/>
    <w:rsid w:val="00562A63"/>
    <w:rsid w:val="005732B4"/>
    <w:rsid w:val="0061418A"/>
    <w:rsid w:val="0061618C"/>
    <w:rsid w:val="00631B77"/>
    <w:rsid w:val="00640E2C"/>
    <w:rsid w:val="006436CC"/>
    <w:rsid w:val="006A65C8"/>
    <w:rsid w:val="00705CD7"/>
    <w:rsid w:val="0073070E"/>
    <w:rsid w:val="00734E8B"/>
    <w:rsid w:val="007540BA"/>
    <w:rsid w:val="00755FFF"/>
    <w:rsid w:val="007668C6"/>
    <w:rsid w:val="0079248D"/>
    <w:rsid w:val="007D67B0"/>
    <w:rsid w:val="007D7C78"/>
    <w:rsid w:val="007E142F"/>
    <w:rsid w:val="007F2607"/>
    <w:rsid w:val="00830421"/>
    <w:rsid w:val="008A0D6A"/>
    <w:rsid w:val="008F0A79"/>
    <w:rsid w:val="008F2B29"/>
    <w:rsid w:val="009B6506"/>
    <w:rsid w:val="009E3113"/>
    <w:rsid w:val="009F58C8"/>
    <w:rsid w:val="00A32680"/>
    <w:rsid w:val="00A70AF7"/>
    <w:rsid w:val="00AB7084"/>
    <w:rsid w:val="00AB7F99"/>
    <w:rsid w:val="00AD4A36"/>
    <w:rsid w:val="00AD5671"/>
    <w:rsid w:val="00B3289C"/>
    <w:rsid w:val="00B5703C"/>
    <w:rsid w:val="00B87E53"/>
    <w:rsid w:val="00BD0B4D"/>
    <w:rsid w:val="00C202E9"/>
    <w:rsid w:val="00C342B2"/>
    <w:rsid w:val="00C62B64"/>
    <w:rsid w:val="00C66872"/>
    <w:rsid w:val="00CA225D"/>
    <w:rsid w:val="00CA3ACF"/>
    <w:rsid w:val="00CD6387"/>
    <w:rsid w:val="00CF5F14"/>
    <w:rsid w:val="00CF6D49"/>
    <w:rsid w:val="00D2514D"/>
    <w:rsid w:val="00D3575F"/>
    <w:rsid w:val="00D4350B"/>
    <w:rsid w:val="00D866C1"/>
    <w:rsid w:val="00D86BBA"/>
    <w:rsid w:val="00D870EC"/>
    <w:rsid w:val="00DE1B79"/>
    <w:rsid w:val="00E53818"/>
    <w:rsid w:val="00E74047"/>
    <w:rsid w:val="00ED03B8"/>
    <w:rsid w:val="00EE5E70"/>
    <w:rsid w:val="00FB35DF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DFA6"/>
  <w15:chartTrackingRefBased/>
  <w15:docId w15:val="{54D4BE0B-D8EE-4FE4-B5F9-B0AA1B7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506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customStyle="1" w:styleId="real-timestamp">
    <w:name w:val="real-timestamp"/>
    <w:basedOn w:val="a"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eal-timestampleft">
    <w:name w:val="real-timestamp__left"/>
    <w:basedOn w:val="a0"/>
    <w:rsid w:val="009B6506"/>
  </w:style>
  <w:style w:type="character" w:customStyle="1" w:styleId="real-timestampright">
    <w:name w:val="real-timestamp__right"/>
    <w:basedOn w:val="a0"/>
    <w:rsid w:val="009B6506"/>
  </w:style>
  <w:style w:type="paragraph" w:styleId="a3">
    <w:name w:val="Normal (Web)"/>
    <w:basedOn w:val="a"/>
    <w:uiPriority w:val="99"/>
    <w:semiHidden/>
    <w:unhideWhenUsed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B6506"/>
    <w:rPr>
      <w:b/>
      <w:bCs/>
    </w:rPr>
  </w:style>
  <w:style w:type="character" w:styleId="a5">
    <w:name w:val="Emphasis"/>
    <w:basedOn w:val="a0"/>
    <w:uiPriority w:val="20"/>
    <w:qFormat/>
    <w:rsid w:val="009B6506"/>
    <w:rPr>
      <w:i/>
      <w:iCs/>
    </w:rPr>
  </w:style>
  <w:style w:type="character" w:customStyle="1" w:styleId="datefnews">
    <w:name w:val="datefnews"/>
    <w:basedOn w:val="a0"/>
    <w:rsid w:val="009B6506"/>
  </w:style>
  <w:style w:type="paragraph" w:styleId="a6">
    <w:name w:val="List Paragraph"/>
    <w:basedOn w:val="a"/>
    <w:uiPriority w:val="34"/>
    <w:qFormat/>
    <w:rsid w:val="0061618C"/>
    <w:pPr>
      <w:ind w:left="720"/>
      <w:contextualSpacing/>
    </w:pPr>
  </w:style>
  <w:style w:type="table" w:styleId="a7">
    <w:name w:val="Table Grid"/>
    <w:basedOn w:val="a1"/>
    <w:uiPriority w:val="39"/>
    <w:rsid w:val="00AB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E2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E2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qFormat/>
    <w:rsid w:val="006141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Hyperlink"/>
    <w:basedOn w:val="a0"/>
    <w:uiPriority w:val="99"/>
    <w:unhideWhenUsed/>
    <w:rsid w:val="00D2514D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2514D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D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F3C"/>
    <w:rPr>
      <w:rFonts w:ascii="Segoe UI" w:hAnsi="Segoe UI" w:cs="Segoe UI"/>
      <w:sz w:val="18"/>
      <w:szCs w:val="18"/>
    </w:rPr>
  </w:style>
  <w:style w:type="paragraph" w:customStyle="1" w:styleId="af">
    <w:name w:val=" Знак Знак Знак Знак Знак Знак"/>
    <w:basedOn w:val="a"/>
    <w:rsid w:val="00CF5F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kr.otg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2020-01-09T15:09:00Z</cp:lastPrinted>
  <dcterms:created xsi:type="dcterms:W3CDTF">2019-10-03T13:53:00Z</dcterms:created>
  <dcterms:modified xsi:type="dcterms:W3CDTF">2020-01-10T12:34:00Z</dcterms:modified>
</cp:coreProperties>
</file>